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3B93" w14:textId="0B112127" w:rsidR="000D16E0" w:rsidRPr="005D1424" w:rsidRDefault="00026425">
      <w:pPr>
        <w:rPr>
          <w:b/>
          <w:bCs/>
        </w:rPr>
      </w:pPr>
      <w:r w:rsidRPr="005D1424">
        <w:rPr>
          <w:b/>
          <w:bCs/>
        </w:rPr>
        <w:t>Table 1</w:t>
      </w:r>
      <w:r w:rsidR="009E3B45">
        <w:rPr>
          <w:b/>
          <w:bCs/>
        </w:rPr>
        <w:t>a</w:t>
      </w:r>
      <w:r w:rsidRPr="005D1424">
        <w:rPr>
          <w:b/>
          <w:bCs/>
        </w:rPr>
        <w:t>. Better Way Shelter Metrics</w:t>
      </w:r>
      <w:r w:rsidR="009E3B45">
        <w:rPr>
          <w:b/>
          <w:bCs/>
        </w:rPr>
        <w:t xml:space="preserve"> – Calendar Year</w:t>
      </w:r>
    </w:p>
    <w:tbl>
      <w:tblPr>
        <w:tblW w:w="11515" w:type="dxa"/>
        <w:tblLayout w:type="fixed"/>
        <w:tblLook w:val="04A0" w:firstRow="1" w:lastRow="0" w:firstColumn="1" w:lastColumn="0" w:noHBand="0" w:noVBand="1"/>
      </w:tblPr>
      <w:tblGrid>
        <w:gridCol w:w="2785"/>
        <w:gridCol w:w="1440"/>
        <w:gridCol w:w="540"/>
        <w:gridCol w:w="642"/>
        <w:gridCol w:w="1338"/>
        <w:gridCol w:w="900"/>
        <w:gridCol w:w="810"/>
        <w:gridCol w:w="810"/>
        <w:gridCol w:w="865"/>
        <w:gridCol w:w="1385"/>
      </w:tblGrid>
      <w:tr w:rsidR="00026425" w:rsidRPr="00026425" w14:paraId="280B6338" w14:textId="77777777" w:rsidTr="00C92214">
        <w:trPr>
          <w:trHeight w:val="312"/>
        </w:trPr>
        <w:tc>
          <w:tcPr>
            <w:tcW w:w="1151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6C9EC"/>
            <w:noWrap/>
            <w:vAlign w:val="bottom"/>
            <w:hideMark/>
          </w:tcPr>
          <w:p w14:paraId="31C9DC0B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Better Way Shelter</w:t>
            </w:r>
          </w:p>
        </w:tc>
      </w:tr>
      <w:tr w:rsidR="00026425" w:rsidRPr="00026425" w14:paraId="4E71A478" w14:textId="77777777" w:rsidTr="009E3B45">
        <w:trPr>
          <w:trHeight w:val="315"/>
        </w:trPr>
        <w:tc>
          <w:tcPr>
            <w:tcW w:w="1151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C9EC"/>
            <w:vAlign w:val="bottom"/>
            <w:hideMark/>
          </w:tcPr>
          <w:p w14:paraId="02898FDF" w14:textId="77777777" w:rsidR="00C92214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Provides temporary shelter, case management, and housing navigation services to Sutter County residents ages 18+ experiencing homelessness. </w:t>
            </w:r>
          </w:p>
          <w:p w14:paraId="57EA3149" w14:textId="36D0C7B1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Maximum capacity: 20 units with up to 2 people per unit.</w:t>
            </w:r>
          </w:p>
        </w:tc>
      </w:tr>
      <w:tr w:rsidR="009E3B45" w:rsidRPr="00026425" w14:paraId="206A1E62" w14:textId="77777777" w:rsidTr="00D010CB">
        <w:trPr>
          <w:trHeight w:val="312"/>
        </w:trPr>
        <w:tc>
          <w:tcPr>
            <w:tcW w:w="11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E3E1" w14:textId="77777777" w:rsidR="009E3B45" w:rsidRPr="00026425" w:rsidRDefault="009E3B4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Yearly Outcomes (Calendar Year)</w:t>
            </w:r>
          </w:p>
        </w:tc>
      </w:tr>
      <w:tr w:rsidR="00026425" w:rsidRPr="00026425" w14:paraId="7FEA5287" w14:textId="77777777" w:rsidTr="009E3B45">
        <w:trPr>
          <w:trHeight w:val="33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61F5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AB01" w14:textId="77777777" w:rsidR="00026425" w:rsidRPr="00026425" w:rsidRDefault="00026425" w:rsidP="000264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0546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2019*</w:t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4C50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2020</w:t>
            </w:r>
          </w:p>
        </w:tc>
      </w:tr>
      <w:tr w:rsidR="00026425" w:rsidRPr="00026425" w14:paraId="5608F30C" w14:textId="77777777" w:rsidTr="009E3B45">
        <w:trPr>
          <w:trHeight w:val="31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  <w:hideMark/>
          </w:tcPr>
          <w:p w14:paraId="5B6D1175" w14:textId="77777777" w:rsidR="00026425" w:rsidRPr="00026425" w:rsidRDefault="00026425" w:rsidP="0002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Metric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2439EA2" w14:textId="77777777" w:rsidR="00026425" w:rsidRPr="00026425" w:rsidRDefault="00026425" w:rsidP="0002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Yearly Goal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5A41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Q3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72AB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Q4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0FD3C8B1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2019 Total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D51D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Q1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96D2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Q2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D598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Q3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2A38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Q4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15BB85CE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2020 Total</w:t>
            </w:r>
          </w:p>
        </w:tc>
      </w:tr>
      <w:tr w:rsidR="00026425" w:rsidRPr="00026425" w14:paraId="24CED29E" w14:textId="77777777" w:rsidTr="00C92214">
        <w:trPr>
          <w:trHeight w:val="624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  <w:hideMark/>
          </w:tcPr>
          <w:p w14:paraId="3060EA94" w14:textId="77777777" w:rsidR="00026425" w:rsidRPr="00026425" w:rsidRDefault="00026425" w:rsidP="0002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Number of People Who Entered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1113F3BB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F6BE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BE7F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3EC8086C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DB7F" w14:textId="634E3FD0" w:rsidR="00026425" w:rsidRPr="00F36370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F36370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  <w:r w:rsidR="005177BC" w:rsidRPr="00F36370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5CD2" w14:textId="77777777" w:rsidR="00026425" w:rsidRPr="00F36370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F36370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BB48" w14:textId="40C7A938" w:rsidR="00026425" w:rsidRPr="00F36370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F36370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  <w:r w:rsidR="005177BC" w:rsidRPr="00F36370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8E92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65AC79F0" w14:textId="7514ED68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  <w:r w:rsidR="005177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026425" w:rsidRPr="00026425" w14:paraId="43336D2A" w14:textId="77777777" w:rsidTr="00C92214">
        <w:trPr>
          <w:trHeight w:val="624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  <w:hideMark/>
          </w:tcPr>
          <w:p w14:paraId="2D72B67D" w14:textId="77777777" w:rsidR="00026425" w:rsidRPr="00026425" w:rsidRDefault="00026425" w:rsidP="0002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Average Length of Stay (Days)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4CFB101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&lt; 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33CD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2168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19.6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2D1455C5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19.6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28E2" w14:textId="187F6F53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="00F363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1.7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1011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53.1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04DD" w14:textId="514BA6B8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60.</w:t>
            </w:r>
            <w:r w:rsidR="00F363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6C55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47.1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0C6CC0F7" w14:textId="56F1BC33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="00F363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4.3</w:t>
            </w:r>
          </w:p>
        </w:tc>
      </w:tr>
      <w:tr w:rsidR="00026425" w:rsidRPr="00026425" w14:paraId="3BD173DE" w14:textId="77777777" w:rsidTr="00332764">
        <w:trPr>
          <w:trHeight w:val="624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  <w:hideMark/>
          </w:tcPr>
          <w:p w14:paraId="26EFCF42" w14:textId="77777777" w:rsidR="00026425" w:rsidRPr="00026425" w:rsidRDefault="00026425" w:rsidP="0002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Number of People Permanently Housed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8EED923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FC77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3886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750B379B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27B9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CC23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0BB8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63BE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6FCA37F4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50</w:t>
            </w:r>
          </w:p>
        </w:tc>
      </w:tr>
    </w:tbl>
    <w:p w14:paraId="4B7BF7EA" w14:textId="77777777" w:rsidR="00E76521" w:rsidRDefault="00E76521"/>
    <w:tbl>
      <w:tblPr>
        <w:tblW w:w="12960" w:type="dxa"/>
        <w:tblLook w:val="04A0" w:firstRow="1" w:lastRow="0" w:firstColumn="1" w:lastColumn="0" w:noHBand="0" w:noVBand="1"/>
      </w:tblPr>
      <w:tblGrid>
        <w:gridCol w:w="2744"/>
        <w:gridCol w:w="1438"/>
        <w:gridCol w:w="679"/>
        <w:gridCol w:w="583"/>
        <w:gridCol w:w="642"/>
        <w:gridCol w:w="679"/>
        <w:gridCol w:w="1335"/>
        <w:gridCol w:w="900"/>
        <w:gridCol w:w="810"/>
        <w:gridCol w:w="810"/>
        <w:gridCol w:w="990"/>
        <w:gridCol w:w="1350"/>
      </w:tblGrid>
      <w:tr w:rsidR="00026425" w:rsidRPr="00026425" w14:paraId="4D02713E" w14:textId="77777777" w:rsidTr="00C92214">
        <w:trPr>
          <w:trHeight w:val="312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C2060" w14:textId="77777777" w:rsidR="00026425" w:rsidRPr="00026425" w:rsidRDefault="00026425" w:rsidP="000264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D8D1" w14:textId="77777777" w:rsidR="00026425" w:rsidRPr="00026425" w:rsidRDefault="00026425" w:rsidP="000264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C9EC"/>
            <w:noWrap/>
            <w:vAlign w:val="bottom"/>
            <w:hideMark/>
          </w:tcPr>
          <w:p w14:paraId="1604B0E1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Yearly Outcomes (Calendar Year)</w:t>
            </w:r>
          </w:p>
        </w:tc>
      </w:tr>
      <w:tr w:rsidR="00026425" w:rsidRPr="00026425" w14:paraId="6DA00B4E" w14:textId="77777777" w:rsidTr="00C92214">
        <w:trPr>
          <w:trHeight w:val="312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F38A1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61E9" w14:textId="77777777" w:rsidR="00026425" w:rsidRPr="00026425" w:rsidRDefault="00026425" w:rsidP="000264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175D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2021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1DF5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2022</w:t>
            </w:r>
          </w:p>
        </w:tc>
      </w:tr>
      <w:tr w:rsidR="00026425" w:rsidRPr="00026425" w14:paraId="40F4616D" w14:textId="77777777" w:rsidTr="00C92214">
        <w:trPr>
          <w:trHeight w:val="312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  <w:hideMark/>
          </w:tcPr>
          <w:p w14:paraId="2FDE9E3B" w14:textId="77777777" w:rsidR="00026425" w:rsidRPr="00026425" w:rsidRDefault="00026425" w:rsidP="0002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Metric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0A6910AF" w14:textId="77777777" w:rsidR="00026425" w:rsidRPr="00026425" w:rsidRDefault="00026425" w:rsidP="0002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Yearly Goal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B57B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Q1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1A74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Q2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CE32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Q3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5052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Q4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507432E1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2021 Total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BA75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Q1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D061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Q2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E3B8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Q3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D273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Q4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53495FFD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2022 Total</w:t>
            </w:r>
          </w:p>
        </w:tc>
      </w:tr>
      <w:tr w:rsidR="00026425" w:rsidRPr="00026425" w14:paraId="2E983B5A" w14:textId="77777777" w:rsidTr="00C92214">
        <w:trPr>
          <w:trHeight w:val="624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  <w:hideMark/>
          </w:tcPr>
          <w:p w14:paraId="7A4A5761" w14:textId="77777777" w:rsidR="00026425" w:rsidRPr="00026425" w:rsidRDefault="00026425" w:rsidP="0002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Number of People Who Entered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11071AB4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112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259C" w14:textId="77777777" w:rsidR="00026425" w:rsidRPr="00F36370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F36370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B0AE" w14:textId="77777777" w:rsidR="00026425" w:rsidRPr="00F36370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F36370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E956" w14:textId="19379357" w:rsidR="00026425" w:rsidRPr="00F36370" w:rsidRDefault="00427F54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F36370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782F" w14:textId="46CC295C" w:rsidR="00026425" w:rsidRPr="00F36370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F36370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  <w:r w:rsidR="00427F54" w:rsidRPr="00F36370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183C8B27" w14:textId="51B20B0D" w:rsidR="00026425" w:rsidRPr="00F36370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3637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12</w:t>
            </w:r>
            <w:r w:rsidR="00427F54" w:rsidRPr="00F3637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162E" w14:textId="6F2CB40A" w:rsidR="00026425" w:rsidRPr="00F36370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F36370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  <w:r w:rsidR="00427F54" w:rsidRPr="00F36370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D9B3" w14:textId="48D06610" w:rsidR="00026425" w:rsidRPr="00F36370" w:rsidRDefault="00427F54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F36370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6C96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980D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4CA9F13B" w14:textId="518DCD25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  <w:r w:rsidR="00427F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026425" w:rsidRPr="00026425" w14:paraId="7E4510A0" w14:textId="77777777" w:rsidTr="00B009C7">
        <w:trPr>
          <w:trHeight w:val="624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  <w:hideMark/>
          </w:tcPr>
          <w:p w14:paraId="2129BA26" w14:textId="77777777" w:rsidR="00026425" w:rsidRPr="00026425" w:rsidRDefault="00026425" w:rsidP="0002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Average Length of Stay (Days)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58D6FE19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&lt; 90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EB0F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48.1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8074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D275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45.5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B70F" w14:textId="541A1A2B" w:rsidR="00026425" w:rsidRPr="00026425" w:rsidRDefault="00F36370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84.8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11418B26" w14:textId="5BF20259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="00F363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7.2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FC56" w14:textId="0369AB79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  <w:r w:rsidR="00F363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2650" w14:textId="4A6EA99F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  <w:r w:rsidR="00F363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B850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8219" w14:textId="1ABA6B59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  <w:r w:rsidR="00F3637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1388B2EE" w14:textId="67B23396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  <w:r w:rsidR="00F363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4.5</w:t>
            </w:r>
          </w:p>
        </w:tc>
      </w:tr>
      <w:tr w:rsidR="00026425" w:rsidRPr="00026425" w14:paraId="71D78CE8" w14:textId="77777777" w:rsidTr="00B009C7">
        <w:trPr>
          <w:trHeight w:val="624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  <w:hideMark/>
          </w:tcPr>
          <w:p w14:paraId="3A9BC4DC" w14:textId="77777777" w:rsidR="00026425" w:rsidRPr="00026425" w:rsidRDefault="00026425" w:rsidP="000264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Number of People Permanently Housed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04DBF3C8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FA8E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C438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7FBF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8F56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7EF3C4FC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E337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B5EE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5C73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A4AE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484A9F8C" w14:textId="77777777" w:rsidR="00026425" w:rsidRPr="00026425" w:rsidRDefault="00026425" w:rsidP="00026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026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37</w:t>
            </w:r>
          </w:p>
        </w:tc>
      </w:tr>
    </w:tbl>
    <w:p w14:paraId="26F03BE9" w14:textId="77777777" w:rsidR="00026425" w:rsidRDefault="00026425"/>
    <w:p w14:paraId="36EE8321" w14:textId="77777777" w:rsidR="00C92214" w:rsidRDefault="00C92214"/>
    <w:p w14:paraId="0776CB13" w14:textId="77777777" w:rsidR="00C92214" w:rsidRDefault="00C92214"/>
    <w:p w14:paraId="48C27E6F" w14:textId="603304A8" w:rsidR="00C92214" w:rsidRPr="00401FBB" w:rsidRDefault="00C92214">
      <w:pPr>
        <w:rPr>
          <w:b/>
          <w:bCs/>
        </w:rPr>
      </w:pPr>
      <w:bookmarkStart w:id="0" w:name="_Hlk181711148"/>
      <w:r w:rsidRPr="00401FBB">
        <w:rPr>
          <w:b/>
          <w:bCs/>
        </w:rPr>
        <w:lastRenderedPageBreak/>
        <w:t>Table 1. Better Way Shelter Metrics (cont’d)</w:t>
      </w:r>
    </w:p>
    <w:bookmarkEnd w:id="0"/>
    <w:tbl>
      <w:tblPr>
        <w:tblW w:w="13756" w:type="dxa"/>
        <w:jc w:val="center"/>
        <w:tblLook w:val="04A0" w:firstRow="1" w:lastRow="0" w:firstColumn="1" w:lastColumn="0" w:noHBand="0" w:noVBand="1"/>
      </w:tblPr>
      <w:tblGrid>
        <w:gridCol w:w="1466"/>
        <w:gridCol w:w="825"/>
        <w:gridCol w:w="821"/>
        <w:gridCol w:w="315"/>
        <w:gridCol w:w="356"/>
        <w:gridCol w:w="581"/>
        <w:gridCol w:w="764"/>
        <w:gridCol w:w="725"/>
        <w:gridCol w:w="764"/>
        <w:gridCol w:w="342"/>
        <w:gridCol w:w="479"/>
        <w:gridCol w:w="1236"/>
        <w:gridCol w:w="686"/>
        <w:gridCol w:w="810"/>
        <w:gridCol w:w="720"/>
        <w:gridCol w:w="750"/>
        <w:gridCol w:w="881"/>
        <w:gridCol w:w="1235"/>
      </w:tblGrid>
      <w:tr w:rsidR="00873618" w:rsidRPr="00C26CA4" w14:paraId="2E249646" w14:textId="77777777" w:rsidTr="006950C7">
        <w:trPr>
          <w:trHeight w:val="310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63121" w14:textId="77777777" w:rsidR="00873618" w:rsidRPr="00C26CA4" w:rsidRDefault="00873618" w:rsidP="00C2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7A485" w14:textId="77777777" w:rsidR="00873618" w:rsidRPr="00C26CA4" w:rsidRDefault="00873618" w:rsidP="00C2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2684" w14:textId="77777777" w:rsidR="00873618" w:rsidRPr="00C26CA4" w:rsidRDefault="00873618" w:rsidP="00C26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86F3A84" w14:textId="4861307E" w:rsidR="00873618" w:rsidRPr="00C26CA4" w:rsidRDefault="00873618" w:rsidP="00C26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Yearly Outcomes (Calendar Year)</w:t>
            </w:r>
          </w:p>
        </w:tc>
      </w:tr>
      <w:tr w:rsidR="00873618" w:rsidRPr="00C26CA4" w14:paraId="5AF682CD" w14:textId="77777777" w:rsidTr="006950C7">
        <w:trPr>
          <w:trHeight w:val="310"/>
          <w:jc w:val="center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5B75F" w14:textId="77777777" w:rsidR="00873618" w:rsidRPr="00C26CA4" w:rsidRDefault="00873618" w:rsidP="00C26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9D58" w14:textId="77777777" w:rsidR="00873618" w:rsidRPr="00C26CA4" w:rsidRDefault="00873618" w:rsidP="00C26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E6AE" w14:textId="77777777" w:rsidR="00873618" w:rsidRPr="00C26CA4" w:rsidRDefault="00873618" w:rsidP="00C26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2023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69394" w14:textId="77777777" w:rsidR="00873618" w:rsidRPr="00C26CA4" w:rsidRDefault="00873618" w:rsidP="00C26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7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4D0B" w14:textId="0F688081" w:rsidR="00873618" w:rsidRPr="00C26CA4" w:rsidRDefault="00873618" w:rsidP="00C26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2024</w:t>
            </w:r>
          </w:p>
        </w:tc>
      </w:tr>
      <w:tr w:rsidR="006E6E68" w:rsidRPr="00C26CA4" w14:paraId="5F5A4F41" w14:textId="77777777" w:rsidTr="006950C7">
        <w:trPr>
          <w:trHeight w:val="310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  <w:hideMark/>
          </w:tcPr>
          <w:p w14:paraId="3E04CA37" w14:textId="77777777" w:rsidR="00873618" w:rsidRPr="00C26CA4" w:rsidRDefault="00873618" w:rsidP="00873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Metric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58CE6E5B" w14:textId="77777777" w:rsidR="00873618" w:rsidRPr="00C26CA4" w:rsidRDefault="00873618" w:rsidP="00873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Yearly Goal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72C0" w14:textId="77777777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Q1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F37D" w14:textId="77777777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Q2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BDAF" w14:textId="77777777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Q3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A0B1" w14:textId="77777777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Q4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13097009" w14:textId="77777777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2023 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B28D" w14:textId="77777777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Q1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CEA5" w14:textId="77777777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Q2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80DC" w14:textId="2474AD34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Q3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4792" w14:textId="375138F1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Oct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891A" w14:textId="5E4FCA64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Nov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74DA" w14:textId="2031FCEA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Dec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DC8A0" w14:textId="77777777" w:rsidR="00873618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258DFC8" w14:textId="485EFFAE" w:rsidR="00873618" w:rsidRPr="00873618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736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34A690D5" w14:textId="78286FE0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2024 Total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750F19B6" w14:textId="77777777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Program Total</w:t>
            </w:r>
          </w:p>
        </w:tc>
      </w:tr>
      <w:tr w:rsidR="006E6E68" w:rsidRPr="00C26CA4" w14:paraId="1EA0FC92" w14:textId="77777777" w:rsidTr="006950C7">
        <w:trPr>
          <w:trHeight w:val="93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  <w:hideMark/>
          </w:tcPr>
          <w:p w14:paraId="269F5F6F" w14:textId="77777777" w:rsidR="00873618" w:rsidRPr="00C26CA4" w:rsidRDefault="00873618" w:rsidP="00873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Number of People Who Entered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4B1CF19A" w14:textId="77777777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112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7757" w14:textId="6B618B4B" w:rsidR="00873618" w:rsidRPr="00F36370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F36370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  <w:r w:rsidR="0017699C" w:rsidRPr="00F36370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08A3" w14:textId="77777777" w:rsidR="00873618" w:rsidRPr="00F36370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F36370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52B8" w14:textId="77777777" w:rsidR="00873618" w:rsidRPr="00F36370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F36370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4046" w14:textId="77777777" w:rsidR="00873618" w:rsidRPr="00F36370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F36370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1AD898B2" w14:textId="10DC7FCF" w:rsidR="00873618" w:rsidRPr="00F36370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3637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11</w:t>
            </w:r>
            <w:r w:rsidR="0017699C" w:rsidRPr="00F3637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A149" w14:textId="12DD317E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E6C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1EF9" w14:textId="0AE17E58" w:rsidR="00873618" w:rsidRPr="0017699C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69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="001E6C2C" w:rsidRPr="001769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0BCE" w14:textId="52158E6A" w:rsidR="00873618" w:rsidRPr="0017699C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69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2</w:t>
            </w:r>
            <w:r w:rsidR="001E6C2C" w:rsidRPr="001769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A40C" w14:textId="4004B1E4" w:rsidR="00873618" w:rsidRPr="00C26CA4" w:rsidRDefault="00EE5895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1B66" w14:textId="6934580B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8C3B3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1D5A" w14:textId="0BC035ED" w:rsidR="00873618" w:rsidRPr="00C26CA4" w:rsidRDefault="001E5ED1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35AFF1" w14:textId="3BDA522B" w:rsidR="00873618" w:rsidRPr="00CC6289" w:rsidRDefault="006950C7" w:rsidP="00695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6950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1A90E4EF" w14:textId="6185EDC1" w:rsidR="00873618" w:rsidRPr="00C26CA4" w:rsidRDefault="00FB2E33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6950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43AB5321" w14:textId="2B21B7AF" w:rsidR="00873618" w:rsidRPr="00C26CA4" w:rsidRDefault="00F66570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 w:rsidR="00FB2E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6E6E68" w:rsidRPr="00C26CA4" w14:paraId="27630BEA" w14:textId="77777777" w:rsidTr="006950C7">
        <w:trPr>
          <w:trHeight w:val="93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  <w:hideMark/>
          </w:tcPr>
          <w:p w14:paraId="21062FE1" w14:textId="77777777" w:rsidR="00873618" w:rsidRPr="00C26CA4" w:rsidRDefault="00873618" w:rsidP="00873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Average Length of Stay (Days)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05677F1E" w14:textId="77777777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&lt; 90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5419" w14:textId="56150391" w:rsidR="00873618" w:rsidRPr="00C26CA4" w:rsidRDefault="00F36370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94.4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37BE" w14:textId="5B445ED3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 w:rsidR="00F363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2.3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6D30" w14:textId="77777777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72E7" w14:textId="57B53EBF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134.</w:t>
            </w:r>
            <w:r w:rsidR="00F363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724FBEB0" w14:textId="7FF33958" w:rsidR="00873618" w:rsidRPr="00C26CA4" w:rsidRDefault="00F36370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94</w:t>
            </w:r>
            <w:r w:rsidR="00873618" w:rsidRPr="00C26C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5DAB" w14:textId="5A5AC8DB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F363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42.3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7384" w14:textId="26685CD8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  <w:r w:rsidR="00F3637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8.5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5550" w14:textId="15C7CE27" w:rsidR="00873618" w:rsidRPr="00C26CA4" w:rsidRDefault="00F36370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97.5</w:t>
            </w:r>
            <w:r w:rsidR="00873618"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A70C" w14:textId="1618EAC1" w:rsidR="00873618" w:rsidRPr="00C26CA4" w:rsidRDefault="00EE5895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60.2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27B1" w14:textId="1E284593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9F046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66.2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6AD9" w14:textId="362D3856" w:rsidR="00873618" w:rsidRPr="00C26CA4" w:rsidRDefault="001E5ED1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70.</w:t>
            </w:r>
            <w:r w:rsidR="006950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873618"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CF8C6C" w14:textId="77777777" w:rsidR="006950C7" w:rsidRDefault="006950C7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674F031" w14:textId="615B7620" w:rsidR="00873618" w:rsidRPr="00C26CA4" w:rsidRDefault="006950C7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65.5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32EDCD7E" w14:textId="5B1EEE07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7E4F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="006950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67F11943" w14:textId="44FB45DC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  <w:r w:rsidR="00F665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6.3</w:t>
            </w:r>
          </w:p>
        </w:tc>
      </w:tr>
      <w:tr w:rsidR="006E6E68" w:rsidRPr="00C26CA4" w14:paraId="3D3811C5" w14:textId="77777777" w:rsidTr="006950C7">
        <w:trPr>
          <w:trHeight w:val="124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  <w:hideMark/>
          </w:tcPr>
          <w:p w14:paraId="1DCCCB0E" w14:textId="77777777" w:rsidR="00873618" w:rsidRPr="00C26CA4" w:rsidRDefault="00873618" w:rsidP="008736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Number of People Permanently Housed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9F8"/>
            <w:noWrap/>
            <w:vAlign w:val="center"/>
            <w:hideMark/>
          </w:tcPr>
          <w:p w14:paraId="549690A8" w14:textId="77777777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5C31" w14:textId="77777777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17699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9181" w14:textId="77777777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C333" w14:textId="77777777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645A" w14:textId="77777777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6242AEF4" w14:textId="77777777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769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B3D0" w14:textId="77777777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FEFE" w14:textId="77777777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143E" w14:textId="469D5F67" w:rsidR="00873618" w:rsidRPr="00C26CA4" w:rsidRDefault="007E4F14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  <w:r w:rsidR="00873618" w:rsidRPr="00C26CA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4A52" w14:textId="61E5F25A" w:rsidR="00873618" w:rsidRPr="00C26CA4" w:rsidRDefault="001E6C2C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DD51" w14:textId="18229728" w:rsidR="00873618" w:rsidRPr="00C26CA4" w:rsidRDefault="008C3B39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48BE" w14:textId="13B7F906" w:rsidR="00873618" w:rsidRPr="00C26CA4" w:rsidRDefault="001E5ED1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9A3D9D" w14:textId="7EF874EA" w:rsidR="00873618" w:rsidRPr="00C26CA4" w:rsidRDefault="006950C7" w:rsidP="006950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7E254C1B" w14:textId="72DB7B61" w:rsidR="00873618" w:rsidRPr="00C26CA4" w:rsidRDefault="00FB2E33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 w:rsidR="006950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77E592A7" w14:textId="1F89C2B6" w:rsidR="00873618" w:rsidRPr="00C26CA4" w:rsidRDefault="00873618" w:rsidP="008736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26C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="00FB2E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</w:tr>
    </w:tbl>
    <w:p w14:paraId="1B5A38C4" w14:textId="77777777" w:rsidR="009E3B45" w:rsidRPr="005D1424" w:rsidRDefault="009E3B45" w:rsidP="009E3B45">
      <w:pPr>
        <w:rPr>
          <w:sz w:val="24"/>
          <w:szCs w:val="24"/>
        </w:rPr>
      </w:pPr>
      <w:r w:rsidRPr="005D1424">
        <w:rPr>
          <w:sz w:val="24"/>
          <w:szCs w:val="24"/>
        </w:rPr>
        <w:t>* Indicates less than a full year worth of data.</w:t>
      </w:r>
    </w:p>
    <w:p w14:paraId="6F407371" w14:textId="77777777" w:rsidR="009E3B45" w:rsidRPr="00D44A19" w:rsidRDefault="009E3B45" w:rsidP="009E3B45">
      <w:pPr>
        <w:spacing w:after="0"/>
        <w:rPr>
          <w:i/>
          <w:iCs/>
          <w:sz w:val="24"/>
          <w:szCs w:val="24"/>
        </w:rPr>
      </w:pPr>
      <w:r w:rsidRPr="00D44A19">
        <w:rPr>
          <w:i/>
          <w:iCs/>
          <w:sz w:val="24"/>
          <w:szCs w:val="24"/>
        </w:rPr>
        <w:t>Data Source</w:t>
      </w:r>
      <w:bookmarkStart w:id="1" w:name="_Hlk158796030"/>
      <w:r w:rsidRPr="00D44A19">
        <w:rPr>
          <w:i/>
          <w:iCs/>
          <w:sz w:val="24"/>
          <w:szCs w:val="24"/>
        </w:rPr>
        <w:t>: Housing Management and Information System (HMIS)</w:t>
      </w:r>
    </w:p>
    <w:bookmarkEnd w:id="1"/>
    <w:p w14:paraId="1699B7C1" w14:textId="77777777" w:rsidR="009E3B45" w:rsidRPr="00D44A19" w:rsidRDefault="009E3B45" w:rsidP="009E3B4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Program began on </w:t>
      </w:r>
      <w:r w:rsidRPr="00D44A19">
        <w:rPr>
          <w:i/>
          <w:iCs/>
          <w:sz w:val="24"/>
          <w:szCs w:val="24"/>
        </w:rPr>
        <w:t>9/19/2019.</w:t>
      </w:r>
    </w:p>
    <w:p w14:paraId="222B2AC7" w14:textId="77777777" w:rsidR="009E3B45" w:rsidRPr="00D44A19" w:rsidRDefault="009E3B45" w:rsidP="009E3B45">
      <w:pPr>
        <w:spacing w:after="0"/>
        <w:rPr>
          <w:i/>
          <w:iCs/>
          <w:sz w:val="24"/>
          <w:szCs w:val="24"/>
        </w:rPr>
      </w:pPr>
    </w:p>
    <w:p w14:paraId="6D14C897" w14:textId="77777777" w:rsidR="009E3B45" w:rsidRDefault="009E3B45" w:rsidP="009E3B45">
      <w:pPr>
        <w:rPr>
          <w:sz w:val="24"/>
          <w:szCs w:val="24"/>
          <w:u w:val="single"/>
        </w:rPr>
      </w:pPr>
      <w:r w:rsidRPr="00D44A19">
        <w:rPr>
          <w:sz w:val="24"/>
          <w:szCs w:val="24"/>
          <w:u w:val="single"/>
        </w:rPr>
        <w:t>Additional Program Notes:</w:t>
      </w:r>
    </w:p>
    <w:p w14:paraId="516040D1" w14:textId="77777777" w:rsidR="009E3B45" w:rsidRDefault="009E3B45" w:rsidP="009E3B4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F7835">
        <w:rPr>
          <w:sz w:val="24"/>
          <w:szCs w:val="24"/>
        </w:rPr>
        <w:t xml:space="preserve">From </w:t>
      </w:r>
      <w:bookmarkStart w:id="2" w:name="_Hlk158795890"/>
      <w:r w:rsidRPr="004F7835">
        <w:rPr>
          <w:sz w:val="24"/>
          <w:szCs w:val="24"/>
        </w:rPr>
        <w:t>March 2020 to January 2023</w:t>
      </w:r>
      <w:bookmarkEnd w:id="2"/>
      <w:r w:rsidRPr="004F7835">
        <w:rPr>
          <w:sz w:val="24"/>
          <w:szCs w:val="24"/>
        </w:rPr>
        <w:t>, the maximum shelter capacity was reduced from 40 to 28 due to COVID-19 social distancing restrictions</w:t>
      </w:r>
      <w:r>
        <w:rPr>
          <w:sz w:val="24"/>
          <w:szCs w:val="24"/>
        </w:rPr>
        <w:t>.</w:t>
      </w:r>
    </w:p>
    <w:p w14:paraId="74A3646B" w14:textId="77777777" w:rsidR="009E3B45" w:rsidRDefault="009E3B45" w:rsidP="009E3B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, </w:t>
      </w:r>
    </w:p>
    <w:p w14:paraId="3B505C8D" w14:textId="77777777" w:rsidR="009E3B45" w:rsidRDefault="009E3B45" w:rsidP="009E3B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Pr="00A8587F">
        <w:rPr>
          <w:sz w:val="24"/>
          <w:szCs w:val="24"/>
        </w:rPr>
        <w:t>he number of people</w:t>
      </w:r>
      <w:r>
        <w:rPr>
          <w:sz w:val="24"/>
          <w:szCs w:val="24"/>
        </w:rPr>
        <w:t xml:space="preserve"> who</w:t>
      </w:r>
      <w:r w:rsidRPr="00A8587F">
        <w:rPr>
          <w:sz w:val="24"/>
          <w:szCs w:val="24"/>
        </w:rPr>
        <w:t xml:space="preserve"> enter</w:t>
      </w:r>
      <w:r>
        <w:rPr>
          <w:sz w:val="24"/>
          <w:szCs w:val="24"/>
        </w:rPr>
        <w:t>ed</w:t>
      </w:r>
      <w:r w:rsidRPr="00A8587F">
        <w:rPr>
          <w:sz w:val="24"/>
          <w:szCs w:val="24"/>
        </w:rPr>
        <w:t xml:space="preserve"> Better Way </w:t>
      </w:r>
      <w:r>
        <w:rPr>
          <w:sz w:val="24"/>
          <w:szCs w:val="24"/>
        </w:rPr>
        <w:t xml:space="preserve">includes people who may have returned. </w:t>
      </w:r>
    </w:p>
    <w:p w14:paraId="14FB547B" w14:textId="77777777" w:rsidR="009E3B45" w:rsidRDefault="009E3B45" w:rsidP="009E3B4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8587F">
        <w:rPr>
          <w:sz w:val="24"/>
          <w:szCs w:val="24"/>
        </w:rPr>
        <w:t xml:space="preserve">The average length of stay </w:t>
      </w:r>
      <w:r>
        <w:rPr>
          <w:sz w:val="24"/>
          <w:szCs w:val="24"/>
        </w:rPr>
        <w:t xml:space="preserve">is the mean based on </w:t>
      </w:r>
      <w:r w:rsidRPr="00A8587F">
        <w:rPr>
          <w:sz w:val="24"/>
          <w:szCs w:val="24"/>
        </w:rPr>
        <w:t>year</w:t>
      </w:r>
      <w:r>
        <w:rPr>
          <w:sz w:val="24"/>
          <w:szCs w:val="24"/>
        </w:rPr>
        <w:t xml:space="preserve"> of exit</w:t>
      </w:r>
      <w:r w:rsidRPr="00A8587F">
        <w:rPr>
          <w:sz w:val="24"/>
          <w:szCs w:val="24"/>
        </w:rPr>
        <w:t>.</w:t>
      </w:r>
    </w:p>
    <w:p w14:paraId="08E4C290" w14:textId="77777777" w:rsidR="009E3B45" w:rsidRDefault="009E3B45" w:rsidP="009E3B45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A8587F">
        <w:rPr>
          <w:sz w:val="24"/>
          <w:szCs w:val="24"/>
        </w:rPr>
        <w:t xml:space="preserve">The number of people permanently housed </w:t>
      </w:r>
      <w:r>
        <w:rPr>
          <w:sz w:val="24"/>
          <w:szCs w:val="24"/>
        </w:rPr>
        <w:t xml:space="preserve">is based on </w:t>
      </w:r>
      <w:r w:rsidRPr="00A8587F">
        <w:rPr>
          <w:sz w:val="24"/>
          <w:szCs w:val="24"/>
        </w:rPr>
        <w:t>the</w:t>
      </w:r>
      <w:r>
        <w:rPr>
          <w:sz w:val="24"/>
          <w:szCs w:val="24"/>
        </w:rPr>
        <w:t xml:space="preserve"> exit</w:t>
      </w:r>
      <w:r w:rsidRPr="00A8587F">
        <w:rPr>
          <w:sz w:val="24"/>
          <w:szCs w:val="24"/>
        </w:rPr>
        <w:t xml:space="preserve"> year</w:t>
      </w:r>
      <w:r>
        <w:rPr>
          <w:sz w:val="24"/>
          <w:szCs w:val="24"/>
        </w:rPr>
        <w:t>.</w:t>
      </w:r>
      <w:r w:rsidRPr="7924DB4E">
        <w:rPr>
          <w:sz w:val="24"/>
          <w:szCs w:val="24"/>
        </w:rPr>
        <w:t xml:space="preserve"> </w:t>
      </w:r>
      <w:r w:rsidRPr="7D3338E9">
        <w:rPr>
          <w:i/>
          <w:sz w:val="24"/>
          <w:szCs w:val="24"/>
        </w:rPr>
        <w:t>e.g. “In 2019, 6 people exited Better Way</w:t>
      </w:r>
      <w:r>
        <w:rPr>
          <w:i/>
          <w:sz w:val="24"/>
          <w:szCs w:val="24"/>
        </w:rPr>
        <w:t xml:space="preserve"> for permanent housing</w:t>
      </w:r>
      <w:r w:rsidRPr="7D3338E9">
        <w:rPr>
          <w:i/>
          <w:sz w:val="24"/>
          <w:szCs w:val="24"/>
        </w:rPr>
        <w:t>”.</w:t>
      </w:r>
    </w:p>
    <w:p w14:paraId="4B08B38D" w14:textId="77777777" w:rsidR="009E3B45" w:rsidRPr="008E437A" w:rsidRDefault="009E3B45" w:rsidP="009E3B4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8587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>Exit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ed</w:t>
      </w:r>
      <w:r w:rsidRPr="00A8587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to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</w:t>
      </w:r>
      <w:r w:rsidRPr="00A8587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ermanent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h</w:t>
      </w:r>
      <w:r w:rsidRPr="00A8587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ousing is defined as leaving to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</w:t>
      </w:r>
      <w:r w:rsidRPr="00A8587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tay with family (Permanent tenure),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</w:t>
      </w:r>
      <w:r w:rsidRPr="00A8587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tay with friends (permanent tenure),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r</w:t>
      </w:r>
      <w:r w:rsidRPr="00A8587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ent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(</w:t>
      </w:r>
      <w:r w:rsidRPr="00A8587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no ongoing housing subsidy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),</w:t>
      </w:r>
      <w:r w:rsidRPr="00A8587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r</w:t>
      </w:r>
      <w:r w:rsidRPr="00A8587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ent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(</w:t>
      </w:r>
      <w:r w:rsidRPr="00A8587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with ongoing housing subsidy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),</w:t>
      </w:r>
      <w:r w:rsidRPr="00A8587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own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(</w:t>
      </w:r>
      <w:r w:rsidRPr="00A8587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with ongoing housing subsidy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),</w:t>
      </w:r>
      <w:r w:rsidRPr="00A8587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o</w:t>
      </w:r>
      <w:r w:rsidRPr="00A8587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wn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(</w:t>
      </w:r>
      <w:r w:rsidRPr="00A8587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no ongoing housing subsidy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)</w:t>
      </w:r>
      <w:r w:rsidRPr="00A8587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27DD0CA1" w14:textId="77777777" w:rsidR="009E3B45" w:rsidRPr="008E437A" w:rsidRDefault="009E3B45" w:rsidP="009E3B45">
      <w:pPr>
        <w:pStyle w:val="ListParagraph"/>
        <w:numPr>
          <w:ilvl w:val="0"/>
          <w:numId w:val="1"/>
        </w:numPr>
      </w:pPr>
      <w:r w:rsidRPr="008E437A">
        <w:rPr>
          <w:sz w:val="24"/>
          <w:szCs w:val="24"/>
        </w:rPr>
        <w:t>Permanent Housing Retention Rate</w:t>
      </w:r>
      <w:r>
        <w:rPr>
          <w:sz w:val="24"/>
          <w:szCs w:val="24"/>
        </w:rPr>
        <w:t xml:space="preserve"> is the percentage of persons who retained their housing for at least one year. </w:t>
      </w:r>
    </w:p>
    <w:tbl>
      <w:tblPr>
        <w:tblStyle w:val="TableGrid"/>
        <w:tblpPr w:leftFromText="180" w:rightFromText="180" w:vertAnchor="page" w:horzAnchor="margin" w:tblpY="7516"/>
        <w:tblW w:w="0" w:type="auto"/>
        <w:tblLook w:val="04A0" w:firstRow="1" w:lastRow="0" w:firstColumn="1" w:lastColumn="0" w:noHBand="0" w:noVBand="1"/>
      </w:tblPr>
      <w:tblGrid>
        <w:gridCol w:w="4874"/>
        <w:gridCol w:w="971"/>
      </w:tblGrid>
      <w:tr w:rsidR="009E3B45" w14:paraId="1FAF9F48" w14:textId="77777777" w:rsidTr="0051501A">
        <w:tc>
          <w:tcPr>
            <w:tcW w:w="5845" w:type="dxa"/>
            <w:gridSpan w:val="2"/>
            <w:shd w:val="clear" w:color="auto" w:fill="ADADAD" w:themeFill="background2" w:themeFillShade="BF"/>
          </w:tcPr>
          <w:p w14:paraId="7D1B699D" w14:textId="77777777" w:rsidR="009E3B45" w:rsidRPr="009E3B45" w:rsidRDefault="009E3B45" w:rsidP="0051501A">
            <w:pPr>
              <w:ind w:left="360"/>
              <w:jc w:val="center"/>
              <w:rPr>
                <w:b/>
                <w:bCs/>
              </w:rPr>
            </w:pPr>
            <w:r w:rsidRPr="009E3B45">
              <w:rPr>
                <w:b/>
                <w:bCs/>
              </w:rPr>
              <w:t xml:space="preserve">Table 2. Better Way Shelter Housing Metrics – Permanent Housing </w:t>
            </w:r>
          </w:p>
        </w:tc>
      </w:tr>
      <w:tr w:rsidR="009E3B45" w14:paraId="77977409" w14:textId="77777777" w:rsidTr="0051501A">
        <w:tc>
          <w:tcPr>
            <w:tcW w:w="4874" w:type="dxa"/>
            <w:shd w:val="clear" w:color="auto" w:fill="ADADAD" w:themeFill="background2" w:themeFillShade="BF"/>
          </w:tcPr>
          <w:p w14:paraId="2F7E3F49" w14:textId="77777777" w:rsidR="009E3B45" w:rsidRPr="006E6E68" w:rsidRDefault="009E3B45" w:rsidP="0051501A">
            <w:pPr>
              <w:rPr>
                <w:b/>
                <w:bCs/>
              </w:rPr>
            </w:pPr>
            <w:r w:rsidRPr="006E6E68">
              <w:rPr>
                <w:b/>
                <w:bCs/>
              </w:rPr>
              <w:t>Category</w:t>
            </w:r>
          </w:p>
        </w:tc>
        <w:tc>
          <w:tcPr>
            <w:tcW w:w="971" w:type="dxa"/>
            <w:shd w:val="clear" w:color="auto" w:fill="ADADAD" w:themeFill="background2" w:themeFillShade="BF"/>
          </w:tcPr>
          <w:p w14:paraId="194E9ADB" w14:textId="77777777" w:rsidR="009E3B45" w:rsidRPr="006E6E68" w:rsidRDefault="009E3B45" w:rsidP="0051501A">
            <w:pPr>
              <w:jc w:val="center"/>
              <w:rPr>
                <w:b/>
                <w:bCs/>
              </w:rPr>
            </w:pPr>
            <w:r w:rsidRPr="006E6E68">
              <w:rPr>
                <w:b/>
                <w:bCs/>
              </w:rPr>
              <w:t>Metric</w:t>
            </w:r>
          </w:p>
        </w:tc>
      </w:tr>
      <w:tr w:rsidR="009E3B45" w14:paraId="05A5CE69" w14:textId="77777777" w:rsidTr="0051501A">
        <w:tc>
          <w:tcPr>
            <w:tcW w:w="4874" w:type="dxa"/>
            <w:shd w:val="clear" w:color="auto" w:fill="A5C9EB" w:themeFill="text2" w:themeFillTint="40"/>
          </w:tcPr>
          <w:p w14:paraId="084B6B1E" w14:textId="77777777" w:rsidR="009E3B45" w:rsidRDefault="009E3B45" w:rsidP="0051501A"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Permanent Housing Retention Rate</w:t>
            </w:r>
          </w:p>
        </w:tc>
        <w:tc>
          <w:tcPr>
            <w:tcW w:w="971" w:type="dxa"/>
          </w:tcPr>
          <w:p w14:paraId="50591C77" w14:textId="77777777" w:rsidR="009E3B45" w:rsidRDefault="009E3B45" w:rsidP="0051501A">
            <w:pPr>
              <w:jc w:val="center"/>
            </w:pPr>
            <w:r>
              <w:t>70%</w:t>
            </w:r>
          </w:p>
        </w:tc>
      </w:tr>
      <w:tr w:rsidR="009E3B45" w14:paraId="4005A0AF" w14:textId="77777777" w:rsidTr="0051501A">
        <w:tc>
          <w:tcPr>
            <w:tcW w:w="4874" w:type="dxa"/>
            <w:shd w:val="clear" w:color="auto" w:fill="A5C9EB" w:themeFill="text2" w:themeFillTint="40"/>
          </w:tcPr>
          <w:p w14:paraId="44EC4911" w14:textId="77777777" w:rsidR="009E3B45" w:rsidRDefault="009E3B45" w:rsidP="0051501A"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Number of People Permanently Housed Twice</w:t>
            </w:r>
          </w:p>
        </w:tc>
        <w:tc>
          <w:tcPr>
            <w:tcW w:w="971" w:type="dxa"/>
          </w:tcPr>
          <w:p w14:paraId="37BBF07C" w14:textId="77777777" w:rsidR="009E3B45" w:rsidRDefault="009E3B45" w:rsidP="0051501A">
            <w:pPr>
              <w:jc w:val="center"/>
            </w:pPr>
            <w:r>
              <w:t>9</w:t>
            </w:r>
          </w:p>
        </w:tc>
      </w:tr>
      <w:tr w:rsidR="009E3B45" w14:paraId="62AB32E6" w14:textId="77777777" w:rsidTr="0051501A">
        <w:tc>
          <w:tcPr>
            <w:tcW w:w="4874" w:type="dxa"/>
            <w:shd w:val="clear" w:color="auto" w:fill="A5C9EB" w:themeFill="text2" w:themeFillTint="40"/>
          </w:tcPr>
          <w:p w14:paraId="32F23909" w14:textId="77777777" w:rsidR="009E3B45" w:rsidRDefault="009E3B45" w:rsidP="0051501A"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Number of People Permanently Housed Three Times</w:t>
            </w:r>
          </w:p>
        </w:tc>
        <w:tc>
          <w:tcPr>
            <w:tcW w:w="971" w:type="dxa"/>
          </w:tcPr>
          <w:p w14:paraId="1182D17C" w14:textId="77777777" w:rsidR="009E3B45" w:rsidRDefault="009E3B45" w:rsidP="0051501A">
            <w:pPr>
              <w:jc w:val="center"/>
            </w:pPr>
            <w:r>
              <w:t>2</w:t>
            </w:r>
          </w:p>
        </w:tc>
      </w:tr>
    </w:tbl>
    <w:p w14:paraId="027928B5" w14:textId="77777777" w:rsidR="009E3B45" w:rsidRDefault="009E3B45"/>
    <w:tbl>
      <w:tblPr>
        <w:tblW w:w="11850" w:type="dxa"/>
        <w:tblLook w:val="04A0" w:firstRow="1" w:lastRow="0" w:firstColumn="1" w:lastColumn="0" w:noHBand="0" w:noVBand="1"/>
      </w:tblPr>
      <w:tblGrid>
        <w:gridCol w:w="1975"/>
        <w:gridCol w:w="1800"/>
        <w:gridCol w:w="2150"/>
        <w:gridCol w:w="1975"/>
        <w:gridCol w:w="1975"/>
        <w:gridCol w:w="1975"/>
      </w:tblGrid>
      <w:tr w:rsidR="009E3B45" w:rsidRPr="00C26CA4" w14:paraId="4192A1BD" w14:textId="77777777" w:rsidTr="002B3BAC">
        <w:trPr>
          <w:trHeight w:val="310"/>
        </w:trPr>
        <w:tc>
          <w:tcPr>
            <w:tcW w:w="11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</w:tcPr>
          <w:p w14:paraId="48F6DD3F" w14:textId="44F865FD" w:rsidR="009E3B45" w:rsidRPr="009E3B45" w:rsidRDefault="009E3B45" w:rsidP="00515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Table 1b: </w:t>
            </w:r>
            <w:r w:rsidRPr="009E3B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Better Way Metrics </w:t>
            </w:r>
            <w:proofErr w:type="gramStart"/>
            <w:r w:rsidRPr="009E3B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By</w:t>
            </w:r>
            <w:proofErr w:type="gramEnd"/>
            <w:r w:rsidRPr="009E3B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Fiscal Year</w:t>
            </w:r>
          </w:p>
        </w:tc>
      </w:tr>
      <w:tr w:rsidR="00F91BA6" w:rsidRPr="00C26CA4" w14:paraId="5CE89854" w14:textId="2D151810" w:rsidTr="00653234">
        <w:trPr>
          <w:trHeight w:val="31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</w:tcPr>
          <w:p w14:paraId="371933E5" w14:textId="5DF56B24" w:rsidR="00F91BA6" w:rsidRPr="00653234" w:rsidRDefault="00F91BA6" w:rsidP="005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32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Metric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</w:tcPr>
          <w:p w14:paraId="01F68F71" w14:textId="59764624" w:rsidR="00F91BA6" w:rsidRPr="00C26CA4" w:rsidRDefault="00F91BA6" w:rsidP="005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Fiscal Year 2019-2020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1D097" w14:textId="4BBB20E8" w:rsidR="00F91BA6" w:rsidRPr="00C26CA4" w:rsidRDefault="00F91BA6" w:rsidP="005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Fiscal Year 2020-2021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C9EC"/>
          </w:tcPr>
          <w:p w14:paraId="2BD87023" w14:textId="4C6B4888" w:rsidR="00F91BA6" w:rsidRPr="00C26CA4" w:rsidRDefault="00F91BA6" w:rsidP="005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Fiscal Year 2021 – 2022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C39D4" w14:textId="20B55386" w:rsidR="00F91BA6" w:rsidRPr="00C26CA4" w:rsidRDefault="00F91BA6" w:rsidP="005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Fiscal Year 2022 - 2023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</w:tcPr>
          <w:p w14:paraId="1D48EB97" w14:textId="4DD449AB" w:rsidR="00F91BA6" w:rsidRPr="00C26CA4" w:rsidRDefault="00F91BA6" w:rsidP="00515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Fiscal Year 2023 - 2024</w:t>
            </w:r>
          </w:p>
        </w:tc>
      </w:tr>
      <w:tr w:rsidR="009E3B45" w:rsidRPr="00C26CA4" w14:paraId="54859595" w14:textId="49BB1937" w:rsidTr="00653234">
        <w:trPr>
          <w:trHeight w:val="93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  <w:hideMark/>
          </w:tcPr>
          <w:p w14:paraId="349F0B69" w14:textId="77777777" w:rsidR="009E3B45" w:rsidRPr="00653234" w:rsidRDefault="009E3B45" w:rsidP="009E3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32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Number of People Who Entered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</w:tcPr>
          <w:p w14:paraId="37576AFB" w14:textId="20DFEA93" w:rsidR="009E3B45" w:rsidRPr="00C26CA4" w:rsidRDefault="009E3B45" w:rsidP="009E3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94.0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C8B72" w14:textId="76AE8AD1" w:rsidR="009E3B45" w:rsidRPr="00C26CA4" w:rsidRDefault="009E3B45" w:rsidP="009E3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C9EC"/>
            <w:vAlign w:val="center"/>
          </w:tcPr>
          <w:p w14:paraId="67D5A9BA" w14:textId="0D6F5CBE" w:rsidR="009E3B45" w:rsidRPr="00C26CA4" w:rsidRDefault="009E3B45" w:rsidP="009E3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76DF0" w14:textId="7FD53731" w:rsidR="009E3B45" w:rsidRPr="00C26CA4" w:rsidRDefault="009E3B45" w:rsidP="009E3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C9EC"/>
            <w:vAlign w:val="center"/>
          </w:tcPr>
          <w:p w14:paraId="29C33CA2" w14:textId="41B6B33D" w:rsidR="009E3B45" w:rsidRPr="00C26CA4" w:rsidRDefault="009E3B45" w:rsidP="009E3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9E3B45" w:rsidRPr="00C26CA4" w14:paraId="57EBE1DB" w14:textId="41F9CAAC" w:rsidTr="00653234">
        <w:trPr>
          <w:trHeight w:val="665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  <w:hideMark/>
          </w:tcPr>
          <w:p w14:paraId="23C85830" w14:textId="77777777" w:rsidR="009E3B45" w:rsidRPr="00653234" w:rsidRDefault="009E3B45" w:rsidP="009E3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32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Average Length of Stay (Days)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</w:tcPr>
          <w:p w14:paraId="0D7B26A6" w14:textId="19070E5E" w:rsidR="009E3B45" w:rsidRPr="00C26CA4" w:rsidRDefault="009E3B45" w:rsidP="009E3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41.5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3675A" w14:textId="3EBEF282" w:rsidR="009E3B45" w:rsidRPr="00C26CA4" w:rsidRDefault="009E3B45" w:rsidP="009E3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52.8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C9EC"/>
            <w:vAlign w:val="center"/>
          </w:tcPr>
          <w:p w14:paraId="61D2DD92" w14:textId="3E6A2E35" w:rsidR="009E3B45" w:rsidRPr="00C26CA4" w:rsidRDefault="009E3B45" w:rsidP="009E3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81.4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D4542" w14:textId="0A7B7DF3" w:rsidR="009E3B45" w:rsidRPr="00C26CA4" w:rsidRDefault="009E3B45" w:rsidP="009E3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77.2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C9EC"/>
            <w:vAlign w:val="center"/>
          </w:tcPr>
          <w:p w14:paraId="26E10EB0" w14:textId="3E9B8CD3" w:rsidR="009E3B45" w:rsidRPr="00C26CA4" w:rsidRDefault="009E3B45" w:rsidP="009E3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</w:tr>
      <w:tr w:rsidR="009E3B45" w:rsidRPr="00C26CA4" w14:paraId="52DB0F62" w14:textId="22FD467D" w:rsidTr="00653234">
        <w:trPr>
          <w:trHeight w:val="7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bottom"/>
            <w:hideMark/>
          </w:tcPr>
          <w:p w14:paraId="0F448626" w14:textId="77777777" w:rsidR="009E3B45" w:rsidRPr="00653234" w:rsidRDefault="009E3B45" w:rsidP="009E3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5323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Number of People Permanently Housed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6C9EC"/>
            <w:vAlign w:val="center"/>
          </w:tcPr>
          <w:p w14:paraId="656AD273" w14:textId="7076414F" w:rsidR="009E3B45" w:rsidRPr="00C26CA4" w:rsidRDefault="009E3B45" w:rsidP="009E3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25.0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A43F4" w14:textId="453119CE" w:rsidR="009E3B45" w:rsidRPr="00C26CA4" w:rsidRDefault="009E3B45" w:rsidP="009E3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6C9EC"/>
            <w:vAlign w:val="center"/>
          </w:tcPr>
          <w:p w14:paraId="0011BE88" w14:textId="32A4C8A6" w:rsidR="009E3B45" w:rsidRPr="00C26CA4" w:rsidRDefault="009E3B45" w:rsidP="009E3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E8DD5" w14:textId="32526F4C" w:rsidR="009E3B45" w:rsidRPr="00C26CA4" w:rsidRDefault="009E3B45" w:rsidP="009E3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vAlign w:val="center"/>
          </w:tcPr>
          <w:p w14:paraId="6985E700" w14:textId="676370E2" w:rsidR="009E3B45" w:rsidRPr="00C26CA4" w:rsidRDefault="009E3B45" w:rsidP="009E3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</w:tr>
    </w:tbl>
    <w:p w14:paraId="11129E93" w14:textId="5873BB3D" w:rsidR="00B009C7" w:rsidRPr="00401FBB" w:rsidRDefault="00B009C7" w:rsidP="00B009C7">
      <w:pPr>
        <w:rPr>
          <w:b/>
          <w:bCs/>
        </w:rPr>
      </w:pPr>
    </w:p>
    <w:p w14:paraId="11CFB3E6" w14:textId="77777777" w:rsidR="00B009C7" w:rsidRDefault="00B009C7" w:rsidP="005D1424">
      <w:pPr>
        <w:rPr>
          <w:sz w:val="24"/>
          <w:szCs w:val="24"/>
        </w:rPr>
      </w:pPr>
    </w:p>
    <w:p w14:paraId="5E3A12A4" w14:textId="77777777" w:rsidR="00B009C7" w:rsidRDefault="00B009C7" w:rsidP="005D1424">
      <w:pPr>
        <w:rPr>
          <w:sz w:val="24"/>
          <w:szCs w:val="24"/>
        </w:rPr>
      </w:pPr>
    </w:p>
    <w:p w14:paraId="5349218E" w14:textId="77777777" w:rsidR="00B009C7" w:rsidRDefault="00B009C7" w:rsidP="005D1424">
      <w:pPr>
        <w:rPr>
          <w:sz w:val="24"/>
          <w:szCs w:val="24"/>
        </w:rPr>
      </w:pPr>
    </w:p>
    <w:p w14:paraId="4FD5393E" w14:textId="77777777" w:rsidR="008E437A" w:rsidRDefault="008E437A" w:rsidP="008E437A">
      <w:pPr>
        <w:pStyle w:val="ListParagraph"/>
      </w:pPr>
    </w:p>
    <w:p w14:paraId="6989A766" w14:textId="77777777" w:rsidR="009E3B45" w:rsidRDefault="009E3B45" w:rsidP="008E437A">
      <w:pPr>
        <w:pStyle w:val="ListParagraph"/>
      </w:pPr>
    </w:p>
    <w:p w14:paraId="38F7CEAC" w14:textId="77777777" w:rsidR="009E3B45" w:rsidRDefault="009E3B45" w:rsidP="008E437A">
      <w:pPr>
        <w:pStyle w:val="ListParagraph"/>
      </w:pPr>
    </w:p>
    <w:p w14:paraId="13B61DC2" w14:textId="77777777" w:rsidR="009E3B45" w:rsidRDefault="009E3B45" w:rsidP="008E437A">
      <w:pPr>
        <w:pStyle w:val="ListParagraph"/>
      </w:pPr>
    </w:p>
    <w:p w14:paraId="3E8E6677" w14:textId="77777777" w:rsidR="009E3B45" w:rsidRDefault="009E3B45" w:rsidP="008E437A">
      <w:pPr>
        <w:pStyle w:val="ListParagraph"/>
      </w:pPr>
    </w:p>
    <w:p w14:paraId="00247686" w14:textId="76B4CD4A" w:rsidR="00C92214" w:rsidRPr="005D1424" w:rsidRDefault="00C92214">
      <w:pPr>
        <w:rPr>
          <w:b/>
          <w:bCs/>
        </w:rPr>
      </w:pPr>
      <w:r w:rsidRPr="005D1424">
        <w:rPr>
          <w:b/>
          <w:bCs/>
        </w:rPr>
        <w:lastRenderedPageBreak/>
        <w:t xml:space="preserve">Table </w:t>
      </w:r>
      <w:r w:rsidR="00051BB0">
        <w:rPr>
          <w:b/>
          <w:bCs/>
        </w:rPr>
        <w:t>3</w:t>
      </w:r>
      <w:r w:rsidRPr="005D1424">
        <w:rPr>
          <w:b/>
          <w:bCs/>
        </w:rPr>
        <w:t>. Harmony Village Metrics</w:t>
      </w:r>
    </w:p>
    <w:tbl>
      <w:tblPr>
        <w:tblW w:w="12620" w:type="dxa"/>
        <w:tblLook w:val="04A0" w:firstRow="1" w:lastRow="0" w:firstColumn="1" w:lastColumn="0" w:noHBand="0" w:noVBand="1"/>
      </w:tblPr>
      <w:tblGrid>
        <w:gridCol w:w="5440"/>
        <w:gridCol w:w="780"/>
        <w:gridCol w:w="720"/>
        <w:gridCol w:w="720"/>
        <w:gridCol w:w="663"/>
        <w:gridCol w:w="663"/>
        <w:gridCol w:w="1384"/>
        <w:gridCol w:w="2324"/>
      </w:tblGrid>
      <w:tr w:rsidR="005C741A" w:rsidRPr="005C741A" w14:paraId="1C5C05FB" w14:textId="77777777" w:rsidTr="005C741A">
        <w:trPr>
          <w:trHeight w:val="290"/>
        </w:trPr>
        <w:tc>
          <w:tcPr>
            <w:tcW w:w="126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1A983"/>
            <w:noWrap/>
            <w:vAlign w:val="bottom"/>
            <w:hideMark/>
          </w:tcPr>
          <w:p w14:paraId="6A7818CB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Harmony Village</w:t>
            </w:r>
          </w:p>
        </w:tc>
      </w:tr>
      <w:tr w:rsidR="005C741A" w:rsidRPr="005C741A" w14:paraId="63FEB966" w14:textId="77777777" w:rsidTr="005C741A">
        <w:trPr>
          <w:trHeight w:val="1140"/>
        </w:trPr>
        <w:tc>
          <w:tcPr>
            <w:tcW w:w="1262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1A983"/>
            <w:vAlign w:val="bottom"/>
            <w:hideMark/>
          </w:tcPr>
          <w:p w14:paraId="115E26AF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Harmony Village is a permanent supportive housing project for low-income Sutter County individuals. The project prioritizes veterans, disabled and those 55 years of age and older. Sutter County HHS Homeless Services Program provides on-site case management support to those not receiving case management services from other providers, such as establishing primary care, IHSS support, budgeting, and assistance with basic life skills. </w:t>
            </w:r>
          </w:p>
        </w:tc>
      </w:tr>
      <w:tr w:rsidR="005C741A" w:rsidRPr="005C741A" w14:paraId="3E93E97D" w14:textId="77777777" w:rsidTr="005C741A">
        <w:trPr>
          <w:trHeight w:val="290"/>
        </w:trPr>
        <w:tc>
          <w:tcPr>
            <w:tcW w:w="126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B763D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Case manager to client ratio: one case manager per 20 clients</w:t>
            </w:r>
          </w:p>
        </w:tc>
      </w:tr>
      <w:tr w:rsidR="005C741A" w:rsidRPr="005C741A" w14:paraId="317C8640" w14:textId="77777777" w:rsidTr="005C741A">
        <w:trPr>
          <w:trHeight w:val="29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4B712665" w14:textId="77777777" w:rsidR="005C741A" w:rsidRPr="005C741A" w:rsidRDefault="005C741A" w:rsidP="005C74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Metric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4EDABD31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2020*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3898EC19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5DA6591E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51B5AC2A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419AA00C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2024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63FACF90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Cumulative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center"/>
            <w:hideMark/>
          </w:tcPr>
          <w:p w14:paraId="27F9B409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Currently Serving**</w:t>
            </w:r>
          </w:p>
        </w:tc>
      </w:tr>
      <w:tr w:rsidR="005C741A" w:rsidRPr="005C741A" w14:paraId="5CB20687" w14:textId="77777777" w:rsidTr="005C741A">
        <w:trPr>
          <w:trHeight w:val="29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1BF2" w14:textId="77777777" w:rsidR="005C741A" w:rsidRPr="005C741A" w:rsidRDefault="005C741A" w:rsidP="005C74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Number of Clients Who Entered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CC76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9187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A688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9BFA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A73A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3B01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7486" w14:textId="3E5D7FCC" w:rsidR="005C741A" w:rsidRPr="005C741A" w:rsidRDefault="0091264D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</w:t>
            </w:r>
          </w:p>
        </w:tc>
      </w:tr>
      <w:tr w:rsidR="005C741A" w:rsidRPr="005C741A" w14:paraId="0F278B8E" w14:textId="77777777" w:rsidTr="005C741A">
        <w:trPr>
          <w:trHeight w:val="29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5EAE" w14:textId="77777777" w:rsidR="005C741A" w:rsidRPr="005C741A" w:rsidRDefault="005C741A" w:rsidP="005C74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Number of Clients Case Managed^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19CC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5FC2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553D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F51B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CE86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A99F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026A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</w:t>
            </w:r>
          </w:p>
        </w:tc>
      </w:tr>
      <w:tr w:rsidR="005C741A" w:rsidRPr="005C741A" w14:paraId="503600AC" w14:textId="77777777" w:rsidTr="005C741A">
        <w:trPr>
          <w:trHeight w:val="29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8167" w14:textId="77777777" w:rsidR="005C741A" w:rsidRPr="005C741A" w:rsidRDefault="005C741A" w:rsidP="005C741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Average Length of Case Management (Days)^^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3CCF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530.5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BCB8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875.5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D1CA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354.1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D7EB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52A6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82F2" w14:textId="5F0BAD92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</w:t>
            </w:r>
            <w:r w:rsidR="0091264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11.6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532F" w14:textId="77777777" w:rsidR="005C741A" w:rsidRPr="005C741A" w:rsidRDefault="005C741A" w:rsidP="005C74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C741A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</w:t>
            </w:r>
          </w:p>
        </w:tc>
      </w:tr>
    </w:tbl>
    <w:p w14:paraId="2925EEBC" w14:textId="77777777" w:rsidR="00401FBB" w:rsidRDefault="00401FBB" w:rsidP="00401FBB">
      <w:pPr>
        <w:spacing w:after="0" w:line="240" w:lineRule="auto"/>
        <w:rPr>
          <w:sz w:val="18"/>
          <w:szCs w:val="18"/>
        </w:rPr>
      </w:pPr>
    </w:p>
    <w:p w14:paraId="040685AA" w14:textId="45BE1B31" w:rsidR="00401FBB" w:rsidRPr="00D83F9D" w:rsidRDefault="00401FBB" w:rsidP="00401FBB">
      <w:pPr>
        <w:spacing w:after="0" w:line="240" w:lineRule="auto"/>
        <w:rPr>
          <w:sz w:val="18"/>
          <w:szCs w:val="18"/>
        </w:rPr>
      </w:pPr>
      <w:r w:rsidRPr="00D83F9D">
        <w:rPr>
          <w:sz w:val="18"/>
          <w:szCs w:val="18"/>
        </w:rPr>
        <w:t>Data source: Housing Management and Information System (HMIS)</w:t>
      </w:r>
    </w:p>
    <w:p w14:paraId="094288E1" w14:textId="77777777" w:rsidR="00401FBB" w:rsidRPr="00D83F9D" w:rsidRDefault="00401FBB" w:rsidP="00401FBB">
      <w:pPr>
        <w:spacing w:after="0" w:line="240" w:lineRule="auto"/>
        <w:rPr>
          <w:sz w:val="18"/>
          <w:szCs w:val="18"/>
        </w:rPr>
      </w:pPr>
      <w:r w:rsidRPr="00D83F9D">
        <w:rPr>
          <w:sz w:val="18"/>
          <w:szCs w:val="18"/>
        </w:rPr>
        <w:t>*2020 only includes 12/1/2020-12/31/2020</w:t>
      </w:r>
    </w:p>
    <w:p w14:paraId="5889C31A" w14:textId="18F3BF7A" w:rsidR="00401FBB" w:rsidRPr="00D83F9D" w:rsidRDefault="00401FBB" w:rsidP="00401FBB">
      <w:pPr>
        <w:spacing w:after="0" w:line="240" w:lineRule="auto"/>
        <w:rPr>
          <w:sz w:val="18"/>
          <w:szCs w:val="18"/>
        </w:rPr>
      </w:pPr>
      <w:r w:rsidRPr="00D83F9D">
        <w:rPr>
          <w:sz w:val="18"/>
          <w:szCs w:val="18"/>
        </w:rPr>
        <w:t>**This count includes all clients who are currently being provided case management services through Sutter County</w:t>
      </w:r>
      <w:r>
        <w:rPr>
          <w:sz w:val="18"/>
          <w:szCs w:val="18"/>
        </w:rPr>
        <w:t xml:space="preserve"> as of 6/30/24</w:t>
      </w:r>
      <w:r w:rsidRPr="00D83F9D">
        <w:rPr>
          <w:sz w:val="18"/>
          <w:szCs w:val="18"/>
        </w:rPr>
        <w:t>.</w:t>
      </w:r>
    </w:p>
    <w:p w14:paraId="380EB275" w14:textId="17C024B3" w:rsidR="00401FBB" w:rsidRPr="00D83F9D" w:rsidRDefault="00401FBB" w:rsidP="00401FBB">
      <w:pPr>
        <w:spacing w:after="0" w:line="240" w:lineRule="auto"/>
        <w:rPr>
          <w:sz w:val="18"/>
          <w:szCs w:val="18"/>
        </w:rPr>
      </w:pPr>
      <w:r w:rsidRPr="00D83F9D">
        <w:rPr>
          <w:sz w:val="18"/>
          <w:szCs w:val="18"/>
        </w:rPr>
        <w:t>^</w:t>
      </w:r>
      <w:r w:rsidRPr="00401FBB">
        <w:rPr>
          <w:sz w:val="18"/>
          <w:szCs w:val="18"/>
        </w:rPr>
        <w:t>Total number of clients case managed by Sutter County in designated year</w:t>
      </w:r>
    </w:p>
    <w:p w14:paraId="231EF815" w14:textId="0FE37AE9" w:rsidR="00401FBB" w:rsidRDefault="00401FBB" w:rsidP="00401FBB">
      <w:r w:rsidRPr="00401FBB">
        <w:rPr>
          <w:sz w:val="18"/>
          <w:szCs w:val="18"/>
        </w:rPr>
        <w:t>^^Average length of Sutter County case management services, based on sub-program entry date.</w:t>
      </w:r>
    </w:p>
    <w:p w14:paraId="761FFF43" w14:textId="77777777" w:rsidR="00401FBB" w:rsidRDefault="00401FBB" w:rsidP="00401FBB">
      <w:pPr>
        <w:spacing w:after="0" w:line="240" w:lineRule="auto"/>
      </w:pPr>
      <w:r>
        <w:t xml:space="preserve">Additional Program Notes: </w:t>
      </w:r>
    </w:p>
    <w:p w14:paraId="4490B20A" w14:textId="77777777" w:rsidR="00401FBB" w:rsidRDefault="00401FBB" w:rsidP="00401FBB">
      <w:pPr>
        <w:spacing w:after="0" w:line="240" w:lineRule="auto"/>
      </w:pPr>
      <w:r>
        <w:t xml:space="preserve">• All metrics ONLY include clients who are receiving services from Sutter County Health &amp; Human Services (HHS) </w:t>
      </w:r>
    </w:p>
    <w:p w14:paraId="7E0AF77B" w14:textId="77777777" w:rsidR="00401FBB" w:rsidRDefault="00401FBB" w:rsidP="00401FBB">
      <w:pPr>
        <w:spacing w:after="0" w:line="240" w:lineRule="auto"/>
      </w:pPr>
      <w:r>
        <w:t xml:space="preserve">• Total capacity at Harmony Village is 62 units </w:t>
      </w:r>
    </w:p>
    <w:p w14:paraId="05C51F53" w14:textId="77777777" w:rsidR="00401FBB" w:rsidRDefault="00401FBB" w:rsidP="00401FBB">
      <w:pPr>
        <w:spacing w:after="0" w:line="240" w:lineRule="auto"/>
      </w:pPr>
      <w:r>
        <w:t xml:space="preserve">• The following entities provide case management to the residents not receiving services from Sutter County HHS: </w:t>
      </w:r>
    </w:p>
    <w:p w14:paraId="764F6D85" w14:textId="77777777" w:rsidR="00401FBB" w:rsidRDefault="00401FBB" w:rsidP="00401FBB">
      <w:pPr>
        <w:spacing w:after="0" w:line="240" w:lineRule="auto"/>
        <w:ind w:firstLine="720"/>
      </w:pPr>
      <w:r>
        <w:t xml:space="preserve">o HUD-Veterans Affairs Supportive Housing (HUD-VASH) </w:t>
      </w:r>
    </w:p>
    <w:p w14:paraId="60297443" w14:textId="77777777" w:rsidR="00401FBB" w:rsidRDefault="00401FBB" w:rsidP="00401FBB">
      <w:pPr>
        <w:spacing w:after="0" w:line="240" w:lineRule="auto"/>
        <w:ind w:firstLine="720"/>
      </w:pPr>
      <w:r>
        <w:t xml:space="preserve">o Alta California Regional Center </w:t>
      </w:r>
    </w:p>
    <w:p w14:paraId="525DE460" w14:textId="77777777" w:rsidR="00401FBB" w:rsidRDefault="00401FBB"/>
    <w:sectPr w:rsidR="00401FBB" w:rsidSect="00026425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BCD5" w14:textId="77777777" w:rsidR="00026425" w:rsidRDefault="00026425" w:rsidP="00026425">
      <w:pPr>
        <w:spacing w:after="0" w:line="240" w:lineRule="auto"/>
      </w:pPr>
      <w:r>
        <w:separator/>
      </w:r>
    </w:p>
  </w:endnote>
  <w:endnote w:type="continuationSeparator" w:id="0">
    <w:p w14:paraId="5DB06506" w14:textId="77777777" w:rsidR="00026425" w:rsidRDefault="00026425" w:rsidP="0002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2F27" w14:textId="77777777" w:rsidR="00026425" w:rsidRDefault="00026425" w:rsidP="00026425">
      <w:pPr>
        <w:spacing w:after="0" w:line="240" w:lineRule="auto"/>
      </w:pPr>
      <w:r>
        <w:separator/>
      </w:r>
    </w:p>
  </w:footnote>
  <w:footnote w:type="continuationSeparator" w:id="0">
    <w:p w14:paraId="1A22BF00" w14:textId="77777777" w:rsidR="00026425" w:rsidRDefault="00026425" w:rsidP="0002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F04B" w14:textId="49944D95" w:rsidR="00026425" w:rsidRDefault="00026425" w:rsidP="00026425">
    <w:pPr>
      <w:pStyle w:val="Header"/>
      <w:jc w:val="center"/>
    </w:pPr>
    <w:r w:rsidRPr="00573233">
      <w:rPr>
        <w:b/>
        <w:bCs/>
        <w:sz w:val="24"/>
        <w:szCs w:val="24"/>
      </w:rPr>
      <w:t>Sutter County Health and Human Services Department (HHSD), Public Health Branch, Homeless Program Metrics</w:t>
    </w:r>
  </w:p>
  <w:p w14:paraId="205158D7" w14:textId="664A405E" w:rsidR="00026425" w:rsidRDefault="00026425">
    <w:pPr>
      <w:pStyle w:val="Header"/>
    </w:pPr>
  </w:p>
  <w:p w14:paraId="23B2A690" w14:textId="77777777" w:rsidR="00026425" w:rsidRDefault="000264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E1A83"/>
    <w:multiLevelType w:val="hybridMultilevel"/>
    <w:tmpl w:val="830E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5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25"/>
    <w:rsid w:val="00026425"/>
    <w:rsid w:val="00051BB0"/>
    <w:rsid w:val="000843D8"/>
    <w:rsid w:val="00092BFE"/>
    <w:rsid w:val="000A039B"/>
    <w:rsid w:val="000C47BD"/>
    <w:rsid w:val="000D16E0"/>
    <w:rsid w:val="000D2435"/>
    <w:rsid w:val="0017699C"/>
    <w:rsid w:val="001D6C99"/>
    <w:rsid w:val="001E5ED1"/>
    <w:rsid w:val="001E6C2C"/>
    <w:rsid w:val="00203708"/>
    <w:rsid w:val="00287525"/>
    <w:rsid w:val="00332764"/>
    <w:rsid w:val="003336D9"/>
    <w:rsid w:val="00375796"/>
    <w:rsid w:val="00401FBB"/>
    <w:rsid w:val="00427F54"/>
    <w:rsid w:val="00460A5D"/>
    <w:rsid w:val="00470BB5"/>
    <w:rsid w:val="004B59F4"/>
    <w:rsid w:val="005177BC"/>
    <w:rsid w:val="005B21B9"/>
    <w:rsid w:val="005B4503"/>
    <w:rsid w:val="005C741A"/>
    <w:rsid w:val="005D1424"/>
    <w:rsid w:val="00653234"/>
    <w:rsid w:val="006950C7"/>
    <w:rsid w:val="006E1F08"/>
    <w:rsid w:val="006E6E68"/>
    <w:rsid w:val="007A51EB"/>
    <w:rsid w:val="007C3BA5"/>
    <w:rsid w:val="007D3713"/>
    <w:rsid w:val="007E4F14"/>
    <w:rsid w:val="007F32E7"/>
    <w:rsid w:val="00802390"/>
    <w:rsid w:val="00861E75"/>
    <w:rsid w:val="00873618"/>
    <w:rsid w:val="008C3B39"/>
    <w:rsid w:val="008E437A"/>
    <w:rsid w:val="0091264D"/>
    <w:rsid w:val="00975ADA"/>
    <w:rsid w:val="009D784E"/>
    <w:rsid w:val="009E3B45"/>
    <w:rsid w:val="009F0466"/>
    <w:rsid w:val="00A64175"/>
    <w:rsid w:val="00AC229B"/>
    <w:rsid w:val="00B009C7"/>
    <w:rsid w:val="00B13FB8"/>
    <w:rsid w:val="00BE6CEF"/>
    <w:rsid w:val="00BF2034"/>
    <w:rsid w:val="00C22606"/>
    <w:rsid w:val="00C26CA4"/>
    <w:rsid w:val="00C92214"/>
    <w:rsid w:val="00CC6289"/>
    <w:rsid w:val="00D51D0C"/>
    <w:rsid w:val="00DC6A0C"/>
    <w:rsid w:val="00E76521"/>
    <w:rsid w:val="00ED6185"/>
    <w:rsid w:val="00EE5895"/>
    <w:rsid w:val="00F05F83"/>
    <w:rsid w:val="00F36370"/>
    <w:rsid w:val="00F66570"/>
    <w:rsid w:val="00F91BA6"/>
    <w:rsid w:val="00FB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47C42"/>
  <w15:chartTrackingRefBased/>
  <w15:docId w15:val="{693D93F5-31EB-4EC4-9955-268B647D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9C7"/>
  </w:style>
  <w:style w:type="paragraph" w:styleId="Heading1">
    <w:name w:val="heading 1"/>
    <w:basedOn w:val="Normal"/>
    <w:next w:val="Normal"/>
    <w:link w:val="Heading1Char"/>
    <w:uiPriority w:val="9"/>
    <w:qFormat/>
    <w:rsid w:val="0002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4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4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4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6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425"/>
  </w:style>
  <w:style w:type="paragraph" w:styleId="Footer">
    <w:name w:val="footer"/>
    <w:basedOn w:val="Normal"/>
    <w:link w:val="FooterChar"/>
    <w:uiPriority w:val="99"/>
    <w:unhideWhenUsed/>
    <w:rsid w:val="00026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425"/>
  </w:style>
  <w:style w:type="table" w:styleId="TableGrid">
    <w:name w:val="Table Grid"/>
    <w:basedOn w:val="TableNormal"/>
    <w:uiPriority w:val="39"/>
    <w:rsid w:val="00E76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4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F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F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Ashima Rani</dc:creator>
  <cp:keywords/>
  <dc:description/>
  <cp:lastModifiedBy>Simranjit Kaur</cp:lastModifiedBy>
  <cp:revision>7</cp:revision>
  <dcterms:created xsi:type="dcterms:W3CDTF">2024-12-19T16:55:00Z</dcterms:created>
  <dcterms:modified xsi:type="dcterms:W3CDTF">2025-01-22T21:02:00Z</dcterms:modified>
</cp:coreProperties>
</file>